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41" w:rsidRDefault="00C111C7" w:rsidP="00BF2100">
      <w:pPr>
        <w:jc w:val="center"/>
        <w:rPr>
          <w:sz w:val="28"/>
          <w:szCs w:val="28"/>
        </w:rPr>
      </w:pPr>
      <w:r>
        <w:rPr>
          <w:noProof/>
          <w:sz w:val="28"/>
          <w:szCs w:val="28"/>
        </w:rPr>
        <w:drawing>
          <wp:inline distT="0" distB="0" distL="0" distR="0">
            <wp:extent cx="2971800" cy="3511296"/>
            <wp:effectExtent l="19050" t="0" r="0" b="0"/>
            <wp:docPr id="3" name="Picture 2" descr="CFGFW_logo(Cap For 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GFW_logo(Cap For Ever).jpg"/>
                    <pic:cNvPicPr/>
                  </pic:nvPicPr>
                  <pic:blipFill>
                    <a:blip r:embed="rId6" cstate="print"/>
                    <a:stretch>
                      <a:fillRect/>
                    </a:stretch>
                  </pic:blipFill>
                  <pic:spPr>
                    <a:xfrm>
                      <a:off x="0" y="0"/>
                      <a:ext cx="2971800" cy="3511296"/>
                    </a:xfrm>
                    <a:prstGeom prst="rect">
                      <a:avLst/>
                    </a:prstGeom>
                    <a:ln>
                      <a:noFill/>
                    </a:ln>
                    <a:effectLst>
                      <a:softEdge rad="112500"/>
                    </a:effectLst>
                  </pic:spPr>
                </pic:pic>
              </a:graphicData>
            </a:graphic>
          </wp:inline>
        </w:drawing>
      </w:r>
    </w:p>
    <w:p w:rsidR="007F6541" w:rsidRDefault="007F6541" w:rsidP="00F26716">
      <w:pPr>
        <w:rPr>
          <w:sz w:val="28"/>
          <w:szCs w:val="28"/>
        </w:rPr>
      </w:pPr>
    </w:p>
    <w:p w:rsidR="001B43B2" w:rsidRDefault="001B43B2" w:rsidP="00F26716">
      <w:pPr>
        <w:rPr>
          <w:sz w:val="28"/>
          <w:szCs w:val="28"/>
        </w:rPr>
      </w:pPr>
    </w:p>
    <w:p w:rsidR="004D104C" w:rsidRDefault="004D104C" w:rsidP="00F26716">
      <w:pPr>
        <w:rPr>
          <w:sz w:val="28"/>
          <w:szCs w:val="28"/>
        </w:rPr>
      </w:pPr>
    </w:p>
    <w:p w:rsidR="008B6584" w:rsidRPr="008B6584" w:rsidRDefault="008B6584" w:rsidP="008B6584">
      <w:pPr>
        <w:jc w:val="center"/>
        <w:rPr>
          <w:sz w:val="36"/>
          <w:szCs w:val="36"/>
        </w:rPr>
      </w:pPr>
      <w:r w:rsidRPr="008B6584">
        <w:rPr>
          <w:sz w:val="36"/>
          <w:szCs w:val="36"/>
        </w:rPr>
        <w:t>Community Foundation of Greater Fort Wayne</w:t>
      </w:r>
    </w:p>
    <w:p w:rsidR="008B6584" w:rsidRPr="008B6584" w:rsidRDefault="008B6584" w:rsidP="008B6584">
      <w:pPr>
        <w:jc w:val="center"/>
        <w:rPr>
          <w:i/>
          <w:sz w:val="36"/>
          <w:szCs w:val="36"/>
        </w:rPr>
      </w:pPr>
      <w:r w:rsidRPr="008B6584">
        <w:rPr>
          <w:i/>
          <w:sz w:val="36"/>
          <w:szCs w:val="36"/>
        </w:rPr>
        <w:t>Loan Program</w:t>
      </w:r>
    </w:p>
    <w:p w:rsidR="008B6584" w:rsidRDefault="008B6584" w:rsidP="008B6584"/>
    <w:p w:rsidR="008B6584" w:rsidRDefault="008B6584" w:rsidP="008B6584"/>
    <w:p w:rsidR="008B6584" w:rsidRDefault="008B6584" w:rsidP="008B6584">
      <w:r>
        <w:t xml:space="preserve">The board of the Community Foundation of Greater Fort Wayne has agreed to provide loans, or Program Related Investments (PRI), for community and economic development purposes intended to stimulate Allen County’s economic vitality. </w:t>
      </w:r>
      <w:r w:rsidR="00E41E66">
        <w:t xml:space="preserve">These funds will be provided by our supporting organization, the Summit Initiatives Foundation.  </w:t>
      </w:r>
      <w:r>
        <w:t>Funds may be awarded to specific municipal, government, or nonprofit projects and organizations that have a direct positive impact on the economic development of Allen County communities that meet certain criteria. Eligible projects must be shown to fit within the overall strategic plan for downtown development.</w:t>
      </w:r>
    </w:p>
    <w:p w:rsidR="008B6584" w:rsidRDefault="008B6584" w:rsidP="008B6584"/>
    <w:p w:rsidR="007F6541" w:rsidRDefault="008B6584" w:rsidP="008B6584">
      <w:pPr>
        <w:rPr>
          <w:sz w:val="28"/>
          <w:szCs w:val="28"/>
        </w:rPr>
        <w:sectPr w:rsidR="007F6541" w:rsidSect="00BF2100">
          <w:pgSz w:w="12240" w:h="15840"/>
          <w:pgMar w:top="1440" w:right="1800" w:bottom="1008" w:left="180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pPr>
      <w:r>
        <w:t>The ultimate goal of a community or economic development grant is to help create vibrant, economically-integrated neighborhoods and to increase opportunities for low-income residents, ultimately improving quality of life. The Community Foundation must ensure that any loan or PRI made will provide a public benefit and not serve private interests.</w:t>
      </w:r>
    </w:p>
    <w:p w:rsidR="008B6584" w:rsidRPr="008B6584" w:rsidRDefault="008B6584" w:rsidP="008B6584">
      <w:pPr>
        <w:pStyle w:val="millernonindent"/>
        <w:jc w:val="center"/>
        <w:rPr>
          <w:sz w:val="36"/>
          <w:szCs w:val="36"/>
        </w:rPr>
      </w:pPr>
      <w:r w:rsidRPr="008B6584">
        <w:rPr>
          <w:sz w:val="36"/>
          <w:szCs w:val="36"/>
        </w:rPr>
        <w:lastRenderedPageBreak/>
        <w:t>Criteria</w:t>
      </w:r>
    </w:p>
    <w:p w:rsidR="008B6584" w:rsidRDefault="008B6584" w:rsidP="008B6584">
      <w:pPr>
        <w:pStyle w:val="millernonindent"/>
      </w:pPr>
    </w:p>
    <w:p w:rsidR="008B6584" w:rsidRDefault="008B6584" w:rsidP="008B6584">
      <w:pPr>
        <w:pStyle w:val="millernonindent"/>
      </w:pPr>
      <w:r>
        <w:t xml:space="preserve">To ensure that funds are furthering a charitable purpose, community and economic development PRIs and loans must generally fit into one or more of the categories listed below. Charitable activities may, and often do, serve more than one of these purposes. </w:t>
      </w:r>
    </w:p>
    <w:p w:rsidR="008B6584" w:rsidRDefault="008B6584" w:rsidP="008B6584">
      <w:pPr>
        <w:pStyle w:val="millernonindent"/>
      </w:pPr>
    </w:p>
    <w:p w:rsidR="008B6584" w:rsidRDefault="008B6584" w:rsidP="008B6584">
      <w:pPr>
        <w:pStyle w:val="millernonindent"/>
      </w:pPr>
      <w:r>
        <w:t>IRS recognized charitable purposes</w:t>
      </w:r>
      <w:r w:rsidR="001D7DCA">
        <w:t xml:space="preserve"> include</w:t>
      </w:r>
      <w:r>
        <w:t>:</w:t>
      </w:r>
    </w:p>
    <w:p w:rsidR="008B6584" w:rsidRDefault="008B6584" w:rsidP="008B6584">
      <w:pPr>
        <w:pStyle w:val="millernonindent"/>
        <w:numPr>
          <w:ilvl w:val="0"/>
          <w:numId w:val="10"/>
        </w:numPr>
      </w:pPr>
      <w:r>
        <w:t>Relief of the poor and distressed or of the underprivileged;</w:t>
      </w:r>
    </w:p>
    <w:p w:rsidR="008B6584" w:rsidRDefault="008B6584" w:rsidP="008B6584">
      <w:pPr>
        <w:pStyle w:val="millernonindent"/>
        <w:numPr>
          <w:ilvl w:val="0"/>
          <w:numId w:val="10"/>
        </w:numPr>
      </w:pPr>
      <w:r>
        <w:t>Advancement of education or science;</w:t>
      </w:r>
    </w:p>
    <w:p w:rsidR="008B6584" w:rsidRDefault="008B6584" w:rsidP="008B6584">
      <w:pPr>
        <w:pStyle w:val="millernonindent"/>
        <w:numPr>
          <w:ilvl w:val="0"/>
          <w:numId w:val="10"/>
        </w:numPr>
      </w:pPr>
      <w:r>
        <w:t>Erection or maintenance of public buildings, monuments, or works;</w:t>
      </w:r>
    </w:p>
    <w:p w:rsidR="008B6584" w:rsidRDefault="008B6584" w:rsidP="008B6584">
      <w:pPr>
        <w:pStyle w:val="millernonindent"/>
        <w:numPr>
          <w:ilvl w:val="0"/>
          <w:numId w:val="10"/>
        </w:numPr>
      </w:pPr>
      <w:r>
        <w:t>Lessen the burdens of government; and</w:t>
      </w:r>
    </w:p>
    <w:p w:rsidR="008B6584" w:rsidRDefault="008B6584" w:rsidP="008B6584">
      <w:pPr>
        <w:pStyle w:val="millernonindent"/>
        <w:numPr>
          <w:ilvl w:val="0"/>
          <w:numId w:val="10"/>
        </w:numPr>
      </w:pPr>
      <w:r>
        <w:t>Promote social welfare, eliminate discrimination, or combat community deterioration.</w:t>
      </w:r>
    </w:p>
    <w:p w:rsidR="008B6584" w:rsidRDefault="008B6584" w:rsidP="008B6584">
      <w:pPr>
        <w:pStyle w:val="millernonindent"/>
      </w:pPr>
    </w:p>
    <w:p w:rsidR="008B6584" w:rsidRDefault="008B6584" w:rsidP="008B6584">
      <w:pPr>
        <w:pStyle w:val="millernonindent"/>
      </w:pPr>
      <w:r>
        <w:t>Legally the Community Foundation may not support activities that have a “substantial” non-charitable purpose or result in inurnment to private entities or persons. Unfortunately there is no clear method to differentiate substantial from insubstantial; each request must be evaluated on its specific facts and circumstances. The key is to make certain the primary focus and beneficiaries of the grant are</w:t>
      </w:r>
      <w:r w:rsidR="00382719">
        <w:t xml:space="preserve"> </w:t>
      </w:r>
      <w:r>
        <w:t>a broad-based group that fits within the tax code definition of a charitable purpose as outlined above. The ultimate goal of this type of investment is not the production of income or the appreciation of property.</w:t>
      </w:r>
    </w:p>
    <w:p w:rsidR="008B6584" w:rsidRDefault="008B6584" w:rsidP="008B6584">
      <w:pPr>
        <w:pStyle w:val="millernonindent"/>
      </w:pPr>
      <w:r>
        <w:t xml:space="preserve"> </w:t>
      </w:r>
    </w:p>
    <w:p w:rsidR="008B6584" w:rsidRDefault="008B6584" w:rsidP="008B6584">
      <w:pPr>
        <w:pStyle w:val="millernonindent"/>
      </w:pPr>
      <w:r>
        <w:t>To determine whether a community development group furthers a charitable purpose, the IRS requires that the PRI or loan satisfy the following three criteria:</w:t>
      </w:r>
    </w:p>
    <w:p w:rsidR="008B6584" w:rsidRDefault="008B6584" w:rsidP="008B6584">
      <w:pPr>
        <w:pStyle w:val="millernonindent"/>
        <w:numPr>
          <w:ilvl w:val="0"/>
          <w:numId w:val="12"/>
        </w:numPr>
      </w:pPr>
      <w:r>
        <w:t>Funding must either help a local business or help attract a new local office or facility of an established outside business.</w:t>
      </w:r>
    </w:p>
    <w:p w:rsidR="008B6584" w:rsidRDefault="008B6584" w:rsidP="008B6584">
      <w:pPr>
        <w:pStyle w:val="millernonindent"/>
        <w:numPr>
          <w:ilvl w:val="0"/>
          <w:numId w:val="12"/>
        </w:numPr>
      </w:pPr>
      <w:r>
        <w:t>Any PRIs or loans must have non-commercial terms and have the potential to revitalize a disadvantaged area.</w:t>
      </w:r>
    </w:p>
    <w:p w:rsidR="008B6584" w:rsidRDefault="008B6584" w:rsidP="008B6584">
      <w:pPr>
        <w:pStyle w:val="millernonindent"/>
        <w:numPr>
          <w:ilvl w:val="0"/>
          <w:numId w:val="12"/>
        </w:numPr>
      </w:pPr>
      <w:r>
        <w:t>There must be a link or connection between the businesses being assisted and relieving the problems of the disadvantaged area, or a link between the businesses and a disadvantaged group, such as a minority, elderly, disabled, or the chronically unemployed in the area.</w:t>
      </w:r>
    </w:p>
    <w:p w:rsidR="001D7DCA" w:rsidRDefault="001D7DCA" w:rsidP="001D7DCA">
      <w:pPr>
        <w:pStyle w:val="millernonindent"/>
      </w:pPr>
    </w:p>
    <w:p w:rsidR="001D7DCA" w:rsidRPr="006E1B3D" w:rsidRDefault="001D7DCA" w:rsidP="001D7DCA">
      <w:pPr>
        <w:pStyle w:val="millernonindent"/>
        <w:rPr>
          <w:u w:val="single"/>
        </w:rPr>
      </w:pPr>
      <w:r>
        <w:t xml:space="preserve">Each project will be analyzed using a two-step process.  </w:t>
      </w:r>
      <w:r w:rsidRPr="001D7DCA">
        <w:rPr>
          <w:b/>
        </w:rPr>
        <w:t>Step One</w:t>
      </w:r>
      <w:r>
        <w:t xml:space="preserve"> is designed to ensure that the project meets an IRS-recognized charitable purpose.  </w:t>
      </w:r>
      <w:r w:rsidRPr="006E1B3D">
        <w:rPr>
          <w:u w:val="single"/>
        </w:rPr>
        <w:t xml:space="preserve">In order to receive support, the evaluator must answer </w:t>
      </w:r>
      <w:r w:rsidR="006E1B3D" w:rsidRPr="006E1B3D">
        <w:rPr>
          <w:u w:val="single"/>
        </w:rPr>
        <w:t xml:space="preserve">“yes” to at least one question in </w:t>
      </w:r>
      <w:r w:rsidR="006E1B3D" w:rsidRPr="006E1B3D">
        <w:rPr>
          <w:b/>
          <w:u w:val="single"/>
        </w:rPr>
        <w:t>Step One</w:t>
      </w:r>
      <w:r w:rsidR="006E1B3D" w:rsidRPr="006E1B3D">
        <w:rPr>
          <w:u w:val="single"/>
        </w:rPr>
        <w:t>.</w:t>
      </w:r>
    </w:p>
    <w:p w:rsidR="006E1B3D" w:rsidRDefault="006E1B3D" w:rsidP="008B6584">
      <w:pPr>
        <w:pStyle w:val="millernonindent"/>
        <w:jc w:val="center"/>
      </w:pPr>
    </w:p>
    <w:p w:rsidR="008B6584" w:rsidRPr="008B6584" w:rsidRDefault="006E1B3D" w:rsidP="006E1B3D">
      <w:pPr>
        <w:pStyle w:val="millernonindent"/>
        <w:jc w:val="left"/>
        <w:rPr>
          <w:sz w:val="36"/>
          <w:szCs w:val="36"/>
        </w:rPr>
      </w:pPr>
      <w:r w:rsidRPr="006E1B3D">
        <w:t xml:space="preserve">The </w:t>
      </w:r>
      <w:r w:rsidR="00C465F8">
        <w:t xml:space="preserve">questions in </w:t>
      </w:r>
      <w:r w:rsidR="00C465F8" w:rsidRPr="00C465F8">
        <w:rPr>
          <w:b/>
        </w:rPr>
        <w:t>Step Two</w:t>
      </w:r>
      <w:r w:rsidR="00C465F8">
        <w:t xml:space="preserve"> are designed to determine if the project furthers a charitable purpose.  While there is no “right” or “wrong” answer to these questions, a higher number of “yes” answers provides stronger evidence that the project furthers a charitable purpose.</w:t>
      </w:r>
      <w:r w:rsidR="0091150F" w:rsidRPr="0091150F">
        <w:br w:type="page"/>
      </w:r>
      <w:r w:rsidR="008B6584" w:rsidRPr="008B6584">
        <w:rPr>
          <w:sz w:val="36"/>
          <w:szCs w:val="36"/>
        </w:rPr>
        <w:lastRenderedPageBreak/>
        <w:t>Assessing Community and Economic Development Projects</w:t>
      </w:r>
    </w:p>
    <w:p w:rsidR="008B6584" w:rsidRDefault="008B6584" w:rsidP="008B6584">
      <w:pPr>
        <w:pStyle w:val="millernonindent"/>
      </w:pPr>
    </w:p>
    <w:p w:rsidR="0091150F" w:rsidRDefault="008B6584" w:rsidP="008B6584">
      <w:pPr>
        <w:pStyle w:val="millernonindent"/>
      </w:pPr>
      <w:r>
        <w:t>This assessment tool is designed to help board and staff evaluate whether a community or economic development project complies with charitable purposes as defined by the IRS and is a project that the Community Foundation is interested in pursuing.</w:t>
      </w:r>
    </w:p>
    <w:p w:rsidR="008B6584" w:rsidRDefault="008B6584" w:rsidP="008B6584">
      <w:pPr>
        <w:pStyle w:val="millernonindent"/>
      </w:pPr>
    </w:p>
    <w:p w:rsidR="008B6584" w:rsidRDefault="008B6584" w:rsidP="008B6584">
      <w:pPr>
        <w:pStyle w:val="millernonindent"/>
      </w:pPr>
    </w:p>
    <w:p w:rsidR="008B6584" w:rsidRDefault="008B6584" w:rsidP="008B6584">
      <w:pPr>
        <w:pStyle w:val="millernoninden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320"/>
        <w:gridCol w:w="2394"/>
        <w:gridCol w:w="2394"/>
      </w:tblGrid>
      <w:tr w:rsidR="008B6584" w:rsidTr="008B6584">
        <w:tc>
          <w:tcPr>
            <w:tcW w:w="9576" w:type="dxa"/>
            <w:gridSpan w:val="4"/>
          </w:tcPr>
          <w:p w:rsidR="008B6584" w:rsidRPr="008B6584" w:rsidRDefault="008B6584" w:rsidP="008B6584">
            <w:pPr>
              <w:pStyle w:val="millernonindent"/>
              <w:jc w:val="center"/>
              <w:rPr>
                <w:b/>
                <w:sz w:val="48"/>
                <w:szCs w:val="48"/>
              </w:rPr>
            </w:pPr>
            <w:r w:rsidRPr="008B6584">
              <w:rPr>
                <w:b/>
                <w:sz w:val="48"/>
                <w:szCs w:val="48"/>
              </w:rPr>
              <w:t xml:space="preserve">Step </w:t>
            </w:r>
            <w:r w:rsidR="001D7DCA">
              <w:rPr>
                <w:b/>
                <w:sz w:val="48"/>
                <w:szCs w:val="48"/>
              </w:rPr>
              <w:t>One</w:t>
            </w:r>
            <w:r w:rsidRPr="008B6584">
              <w:rPr>
                <w:b/>
                <w:sz w:val="48"/>
                <w:szCs w:val="48"/>
              </w:rPr>
              <w:t xml:space="preserve">:  </w:t>
            </w:r>
          </w:p>
          <w:p w:rsidR="008B6584" w:rsidRPr="008B6584" w:rsidRDefault="008B6584" w:rsidP="008B6584">
            <w:pPr>
              <w:pStyle w:val="millernonindent"/>
              <w:jc w:val="center"/>
              <w:rPr>
                <w:sz w:val="32"/>
                <w:szCs w:val="32"/>
              </w:rPr>
            </w:pPr>
            <w:r w:rsidRPr="008B6584">
              <w:rPr>
                <w:sz w:val="32"/>
                <w:szCs w:val="32"/>
              </w:rPr>
              <w:t>Does the community or economic development project</w:t>
            </w:r>
          </w:p>
          <w:p w:rsidR="008B6584" w:rsidRPr="008B6584" w:rsidRDefault="008B6584" w:rsidP="008B6584">
            <w:pPr>
              <w:pStyle w:val="millernonindent"/>
              <w:jc w:val="center"/>
              <w:rPr>
                <w:sz w:val="32"/>
                <w:szCs w:val="32"/>
              </w:rPr>
            </w:pPr>
            <w:r w:rsidRPr="008B6584">
              <w:rPr>
                <w:sz w:val="32"/>
                <w:szCs w:val="32"/>
              </w:rPr>
              <w:t xml:space="preserve"> “substantially” focus on the:</w:t>
            </w:r>
          </w:p>
          <w:p w:rsidR="008B6584" w:rsidRDefault="008B6584" w:rsidP="008B6584">
            <w:pPr>
              <w:pStyle w:val="millernonindent"/>
            </w:pPr>
          </w:p>
        </w:tc>
      </w:tr>
      <w:tr w:rsidR="008B6584" w:rsidTr="001D7DCA">
        <w:tc>
          <w:tcPr>
            <w:tcW w:w="468" w:type="dxa"/>
            <w:tcBorders>
              <w:top w:val="nil"/>
              <w:left w:val="single" w:sz="4" w:space="0" w:color="000000"/>
              <w:right w:val="nil"/>
            </w:tcBorders>
          </w:tcPr>
          <w:p w:rsidR="008B6584" w:rsidRDefault="008B6584" w:rsidP="008B6584">
            <w:pPr>
              <w:pStyle w:val="millernonindent"/>
            </w:pPr>
          </w:p>
        </w:tc>
        <w:tc>
          <w:tcPr>
            <w:tcW w:w="4320" w:type="dxa"/>
            <w:tcBorders>
              <w:top w:val="nil"/>
              <w:left w:val="nil"/>
            </w:tcBorders>
          </w:tcPr>
          <w:p w:rsidR="008B6584" w:rsidRDefault="008B6584" w:rsidP="008B6584">
            <w:pPr>
              <w:pStyle w:val="millernonindent"/>
            </w:pPr>
          </w:p>
        </w:tc>
        <w:tc>
          <w:tcPr>
            <w:tcW w:w="2394" w:type="dxa"/>
          </w:tcPr>
          <w:p w:rsidR="008B6584" w:rsidRPr="008B6584" w:rsidRDefault="008B6584" w:rsidP="008B6584">
            <w:pPr>
              <w:pStyle w:val="millernonindent"/>
              <w:jc w:val="center"/>
              <w:rPr>
                <w:u w:val="single"/>
              </w:rPr>
            </w:pPr>
            <w:r w:rsidRPr="008B6584">
              <w:rPr>
                <w:u w:val="single"/>
              </w:rPr>
              <w:t>Yes</w:t>
            </w:r>
          </w:p>
        </w:tc>
        <w:tc>
          <w:tcPr>
            <w:tcW w:w="2394" w:type="dxa"/>
          </w:tcPr>
          <w:p w:rsidR="008B6584" w:rsidRPr="008B6584" w:rsidRDefault="008B6584" w:rsidP="008B6584">
            <w:pPr>
              <w:pStyle w:val="millernonindent"/>
              <w:jc w:val="center"/>
              <w:rPr>
                <w:u w:val="single"/>
              </w:rPr>
            </w:pPr>
            <w:r w:rsidRPr="008B6584">
              <w:rPr>
                <w:u w:val="single"/>
              </w:rPr>
              <w:t>No</w:t>
            </w:r>
          </w:p>
        </w:tc>
      </w:tr>
      <w:tr w:rsidR="008B6584" w:rsidTr="001D7DCA">
        <w:tc>
          <w:tcPr>
            <w:tcW w:w="468" w:type="dxa"/>
            <w:vAlign w:val="center"/>
          </w:tcPr>
          <w:p w:rsidR="008B6584" w:rsidRDefault="001D7DCA" w:rsidP="001D7DCA">
            <w:pPr>
              <w:pStyle w:val="millernonindent"/>
              <w:jc w:val="center"/>
            </w:pPr>
            <w:r>
              <w:t>1</w:t>
            </w:r>
          </w:p>
        </w:tc>
        <w:tc>
          <w:tcPr>
            <w:tcW w:w="4320" w:type="dxa"/>
          </w:tcPr>
          <w:p w:rsidR="008B6584" w:rsidRDefault="008B6584" w:rsidP="008B6584">
            <w:pPr>
              <w:pStyle w:val="millernonindent"/>
            </w:pPr>
            <w:r>
              <w:t>Relief of the poor, distressed, or underprivileged?</w:t>
            </w:r>
            <w:r>
              <w:tab/>
            </w:r>
          </w:p>
        </w:tc>
        <w:tc>
          <w:tcPr>
            <w:tcW w:w="2394" w:type="dxa"/>
          </w:tcPr>
          <w:p w:rsidR="008B6584" w:rsidRDefault="008B6584" w:rsidP="008B6584">
            <w:pPr>
              <w:pStyle w:val="millernonindent"/>
            </w:pPr>
          </w:p>
        </w:tc>
        <w:tc>
          <w:tcPr>
            <w:tcW w:w="2394"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2</w:t>
            </w:r>
          </w:p>
        </w:tc>
        <w:tc>
          <w:tcPr>
            <w:tcW w:w="4320" w:type="dxa"/>
          </w:tcPr>
          <w:p w:rsidR="008B6584" w:rsidRDefault="008B6584" w:rsidP="008B6584">
            <w:pPr>
              <w:pStyle w:val="millernonindent"/>
            </w:pPr>
            <w:r>
              <w:t>Advancement of education or science?</w:t>
            </w:r>
          </w:p>
        </w:tc>
        <w:tc>
          <w:tcPr>
            <w:tcW w:w="2394" w:type="dxa"/>
          </w:tcPr>
          <w:p w:rsidR="008B6584" w:rsidRDefault="008B6584" w:rsidP="008B6584">
            <w:pPr>
              <w:pStyle w:val="millernonindent"/>
            </w:pPr>
          </w:p>
        </w:tc>
        <w:tc>
          <w:tcPr>
            <w:tcW w:w="2394"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3</w:t>
            </w:r>
          </w:p>
        </w:tc>
        <w:tc>
          <w:tcPr>
            <w:tcW w:w="4320" w:type="dxa"/>
          </w:tcPr>
          <w:p w:rsidR="008B6584" w:rsidRDefault="008B6584" w:rsidP="008B6584">
            <w:pPr>
              <w:pStyle w:val="millernonindent"/>
            </w:pPr>
            <w:r>
              <w:t xml:space="preserve">Erection/maintenance of public buildings, monuments, or works? </w:t>
            </w:r>
            <w:r>
              <w:tab/>
            </w:r>
            <w:r>
              <w:tab/>
            </w:r>
          </w:p>
        </w:tc>
        <w:tc>
          <w:tcPr>
            <w:tcW w:w="2394" w:type="dxa"/>
          </w:tcPr>
          <w:p w:rsidR="008B6584" w:rsidRDefault="008B6584" w:rsidP="008B6584">
            <w:pPr>
              <w:pStyle w:val="millernonindent"/>
            </w:pPr>
          </w:p>
        </w:tc>
        <w:tc>
          <w:tcPr>
            <w:tcW w:w="2394"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4</w:t>
            </w:r>
          </w:p>
        </w:tc>
        <w:tc>
          <w:tcPr>
            <w:tcW w:w="4320" w:type="dxa"/>
          </w:tcPr>
          <w:p w:rsidR="008B6584" w:rsidRDefault="008B6584" w:rsidP="008B6584">
            <w:pPr>
              <w:pStyle w:val="millernonindent"/>
            </w:pPr>
            <w:r>
              <w:t>Lessening the burdens of government?</w:t>
            </w:r>
          </w:p>
        </w:tc>
        <w:tc>
          <w:tcPr>
            <w:tcW w:w="2394" w:type="dxa"/>
          </w:tcPr>
          <w:p w:rsidR="008B6584" w:rsidRDefault="008B6584" w:rsidP="008B6584">
            <w:pPr>
              <w:pStyle w:val="millernonindent"/>
            </w:pPr>
          </w:p>
        </w:tc>
        <w:tc>
          <w:tcPr>
            <w:tcW w:w="2394"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5</w:t>
            </w:r>
          </w:p>
        </w:tc>
        <w:tc>
          <w:tcPr>
            <w:tcW w:w="4320" w:type="dxa"/>
          </w:tcPr>
          <w:p w:rsidR="008B6584" w:rsidRDefault="008B6584" w:rsidP="008B6584">
            <w:pPr>
              <w:pStyle w:val="millernonindent"/>
            </w:pPr>
            <w:r>
              <w:t>Promotion of social welfare to accomplish any of the above, lessen neighborhood tensions, eliminate prejudice, or discrimination or combat community deterioration?</w:t>
            </w:r>
          </w:p>
        </w:tc>
        <w:tc>
          <w:tcPr>
            <w:tcW w:w="2394" w:type="dxa"/>
          </w:tcPr>
          <w:p w:rsidR="008B6584" w:rsidRDefault="008B6584" w:rsidP="008B6584">
            <w:pPr>
              <w:pStyle w:val="millernonindent"/>
            </w:pPr>
          </w:p>
        </w:tc>
        <w:tc>
          <w:tcPr>
            <w:tcW w:w="2394" w:type="dxa"/>
          </w:tcPr>
          <w:p w:rsidR="008B6584" w:rsidRDefault="008B6584" w:rsidP="008B6584">
            <w:pPr>
              <w:pStyle w:val="millernonindent"/>
            </w:pPr>
          </w:p>
        </w:tc>
      </w:tr>
    </w:tbl>
    <w:p w:rsidR="008B6584" w:rsidRDefault="008B6584" w:rsidP="008B6584">
      <w:pPr>
        <w:pStyle w:val="millernonindent"/>
      </w:pPr>
    </w:p>
    <w:p w:rsidR="008B6584" w:rsidRDefault="008B6584" w:rsidP="008B6584">
      <w:pPr>
        <w:pStyle w:val="millernonindent"/>
      </w:pPr>
    </w:p>
    <w:p w:rsidR="008B6584" w:rsidRDefault="008B6584" w:rsidP="008B6584">
      <w:pPr>
        <w:pStyle w:val="millernoninden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5310"/>
        <w:gridCol w:w="2070"/>
        <w:gridCol w:w="1728"/>
      </w:tblGrid>
      <w:tr w:rsidR="008B6584" w:rsidTr="008B6584">
        <w:tc>
          <w:tcPr>
            <w:tcW w:w="9576" w:type="dxa"/>
            <w:gridSpan w:val="4"/>
          </w:tcPr>
          <w:p w:rsidR="008B6584" w:rsidRPr="008B6584" w:rsidRDefault="008B6584" w:rsidP="008B6584">
            <w:pPr>
              <w:pStyle w:val="millernonindent"/>
              <w:jc w:val="center"/>
              <w:rPr>
                <w:b/>
                <w:sz w:val="48"/>
                <w:szCs w:val="48"/>
              </w:rPr>
            </w:pPr>
            <w:r w:rsidRPr="008B6584">
              <w:rPr>
                <w:b/>
                <w:sz w:val="48"/>
                <w:szCs w:val="48"/>
              </w:rPr>
              <w:lastRenderedPageBreak/>
              <w:t xml:space="preserve">Step </w:t>
            </w:r>
            <w:r w:rsidR="001D7DCA">
              <w:rPr>
                <w:b/>
                <w:sz w:val="48"/>
                <w:szCs w:val="48"/>
              </w:rPr>
              <w:t>Two</w:t>
            </w:r>
            <w:r w:rsidRPr="008B6584">
              <w:rPr>
                <w:b/>
                <w:sz w:val="48"/>
                <w:szCs w:val="48"/>
              </w:rPr>
              <w:t xml:space="preserve">:  </w:t>
            </w:r>
          </w:p>
          <w:p w:rsidR="008B6584" w:rsidRPr="008B6584" w:rsidRDefault="008B6584" w:rsidP="008B6584">
            <w:pPr>
              <w:pStyle w:val="millernonindent"/>
              <w:jc w:val="center"/>
              <w:rPr>
                <w:sz w:val="32"/>
                <w:szCs w:val="32"/>
              </w:rPr>
            </w:pPr>
            <w:r w:rsidRPr="008B6584">
              <w:rPr>
                <w:sz w:val="32"/>
                <w:szCs w:val="32"/>
              </w:rPr>
              <w:t>Does the community or economic development project:</w:t>
            </w:r>
          </w:p>
          <w:p w:rsidR="008B6584" w:rsidRDefault="008B6584" w:rsidP="008B6584">
            <w:pPr>
              <w:pStyle w:val="millernonindent"/>
            </w:pPr>
          </w:p>
        </w:tc>
      </w:tr>
      <w:tr w:rsidR="008B6584" w:rsidTr="001D7DCA">
        <w:tc>
          <w:tcPr>
            <w:tcW w:w="468" w:type="dxa"/>
            <w:tcBorders>
              <w:right w:val="nil"/>
            </w:tcBorders>
          </w:tcPr>
          <w:p w:rsidR="008B6584" w:rsidRDefault="008B6584" w:rsidP="008B6584">
            <w:pPr>
              <w:pStyle w:val="millernonindent"/>
            </w:pPr>
          </w:p>
        </w:tc>
        <w:tc>
          <w:tcPr>
            <w:tcW w:w="5310" w:type="dxa"/>
            <w:tcBorders>
              <w:left w:val="nil"/>
            </w:tcBorders>
          </w:tcPr>
          <w:p w:rsidR="008B6584" w:rsidRDefault="008B6584" w:rsidP="008B6584">
            <w:pPr>
              <w:pStyle w:val="millernonindent"/>
            </w:pPr>
          </w:p>
        </w:tc>
        <w:tc>
          <w:tcPr>
            <w:tcW w:w="2070" w:type="dxa"/>
          </w:tcPr>
          <w:p w:rsidR="008B6584" w:rsidRPr="008B6584" w:rsidRDefault="008B6584" w:rsidP="008B6584">
            <w:pPr>
              <w:pStyle w:val="millernonindent"/>
              <w:jc w:val="center"/>
              <w:rPr>
                <w:u w:val="single"/>
              </w:rPr>
            </w:pPr>
            <w:r w:rsidRPr="008B6584">
              <w:rPr>
                <w:u w:val="single"/>
              </w:rPr>
              <w:t>Yes</w:t>
            </w:r>
          </w:p>
        </w:tc>
        <w:tc>
          <w:tcPr>
            <w:tcW w:w="1728" w:type="dxa"/>
          </w:tcPr>
          <w:p w:rsidR="008B6584" w:rsidRPr="008B6584" w:rsidRDefault="008B6584" w:rsidP="008B6584">
            <w:pPr>
              <w:pStyle w:val="millernonindent"/>
              <w:jc w:val="center"/>
              <w:rPr>
                <w:u w:val="single"/>
              </w:rPr>
            </w:pPr>
            <w:r w:rsidRPr="008B6584">
              <w:rPr>
                <w:u w:val="single"/>
              </w:rPr>
              <w:t>No</w:t>
            </w:r>
          </w:p>
        </w:tc>
      </w:tr>
      <w:tr w:rsidR="008B6584" w:rsidTr="001D7DCA">
        <w:tc>
          <w:tcPr>
            <w:tcW w:w="468" w:type="dxa"/>
            <w:vAlign w:val="center"/>
          </w:tcPr>
          <w:p w:rsidR="008B6584" w:rsidRDefault="001D7DCA" w:rsidP="001D7DCA">
            <w:pPr>
              <w:pStyle w:val="millernonindent"/>
              <w:jc w:val="center"/>
            </w:pPr>
            <w:r>
              <w:t>1</w:t>
            </w:r>
          </w:p>
        </w:tc>
        <w:tc>
          <w:tcPr>
            <w:tcW w:w="5310" w:type="dxa"/>
          </w:tcPr>
          <w:p w:rsidR="008B6584" w:rsidRDefault="008B6584" w:rsidP="008B6584">
            <w:pPr>
              <w:pStyle w:val="millernonindent"/>
            </w:pPr>
            <w:r>
              <w:t>Replace one previously undertaken by the government?</w:t>
            </w:r>
            <w:r>
              <w:tab/>
            </w:r>
            <w:r>
              <w:tab/>
            </w:r>
            <w:r>
              <w:tab/>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2</w:t>
            </w:r>
          </w:p>
        </w:tc>
        <w:tc>
          <w:tcPr>
            <w:tcW w:w="5310" w:type="dxa"/>
          </w:tcPr>
          <w:p w:rsidR="008B6584" w:rsidRDefault="008B6584" w:rsidP="008B6584">
            <w:pPr>
              <w:pStyle w:val="millernonindent"/>
            </w:pPr>
            <w:r>
              <w:t>Play an integral part in a larger governmental program/project?</w:t>
            </w:r>
            <w:r>
              <w:tab/>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3</w:t>
            </w:r>
          </w:p>
        </w:tc>
        <w:tc>
          <w:tcPr>
            <w:tcW w:w="5310" w:type="dxa"/>
          </w:tcPr>
          <w:p w:rsidR="008B6584" w:rsidRDefault="008B6584" w:rsidP="001D7DCA">
            <w:pPr>
              <w:pStyle w:val="millernonindent"/>
            </w:pPr>
            <w:r>
              <w:t>Feature an</w:t>
            </w:r>
            <w:r w:rsidR="001D7DCA">
              <w:t xml:space="preserve"> </w:t>
            </w:r>
            <w:r>
              <w:t>organization acting jointly with a governmental unit?</w:t>
            </w:r>
            <w:r>
              <w:tab/>
            </w:r>
            <w:r>
              <w:tab/>
            </w:r>
            <w:r>
              <w:tab/>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4</w:t>
            </w:r>
          </w:p>
        </w:tc>
        <w:tc>
          <w:tcPr>
            <w:tcW w:w="5310" w:type="dxa"/>
          </w:tcPr>
          <w:p w:rsidR="008B6584" w:rsidRDefault="008B6584" w:rsidP="001D7DCA">
            <w:pPr>
              <w:pStyle w:val="millernonindent"/>
            </w:pPr>
            <w:r>
              <w:t>Involve a governmental unit inviting the Community Foundation to participate in the program/project?</w:t>
            </w:r>
            <w:r>
              <w:tab/>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5</w:t>
            </w:r>
          </w:p>
        </w:tc>
        <w:tc>
          <w:tcPr>
            <w:tcW w:w="5310" w:type="dxa"/>
          </w:tcPr>
          <w:p w:rsidR="008B6584" w:rsidRDefault="008B6584" w:rsidP="008B6584">
            <w:pPr>
              <w:pStyle w:val="millernonindent"/>
            </w:pPr>
            <w:r>
              <w:t>Have a government ruling that has identified the area as “economically disadvantaged”?</w:t>
            </w:r>
            <w:r>
              <w:tab/>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6</w:t>
            </w:r>
          </w:p>
        </w:tc>
        <w:tc>
          <w:tcPr>
            <w:tcW w:w="5310" w:type="dxa"/>
          </w:tcPr>
          <w:p w:rsidR="008B6584" w:rsidRDefault="001D7DCA" w:rsidP="001D7DCA">
            <w:pPr>
              <w:pStyle w:val="millernonindent"/>
            </w:pPr>
            <w:r>
              <w:t>Support</w:t>
            </w:r>
            <w:r w:rsidR="008B6584">
              <w:t xml:space="preserve"> the overall strategic vision/plan for downtown development?</w:t>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7</w:t>
            </w:r>
          </w:p>
        </w:tc>
        <w:tc>
          <w:tcPr>
            <w:tcW w:w="5310" w:type="dxa"/>
          </w:tcPr>
          <w:p w:rsidR="008B6584" w:rsidRDefault="008B6584" w:rsidP="001D7DCA">
            <w:pPr>
              <w:pStyle w:val="millernonindent"/>
            </w:pPr>
            <w:r>
              <w:t>Provide help to local business or attract new local facilities of established outside business?</w:t>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1D7DCA">
        <w:tc>
          <w:tcPr>
            <w:tcW w:w="468" w:type="dxa"/>
            <w:vAlign w:val="center"/>
          </w:tcPr>
          <w:p w:rsidR="008B6584" w:rsidRDefault="001D7DCA" w:rsidP="001D7DCA">
            <w:pPr>
              <w:pStyle w:val="millernonindent"/>
              <w:jc w:val="center"/>
            </w:pPr>
            <w:r>
              <w:t>8</w:t>
            </w:r>
          </w:p>
        </w:tc>
        <w:tc>
          <w:tcPr>
            <w:tcW w:w="5310" w:type="dxa"/>
          </w:tcPr>
          <w:p w:rsidR="008B6584" w:rsidRDefault="008B6584" w:rsidP="001D7DCA">
            <w:pPr>
              <w:pStyle w:val="millernonindent"/>
            </w:pPr>
            <w:r>
              <w:t>Provide the type of assistance to the community development organization that has non-commercial terms and the potential to revitalize a disadvantaged area?</w:t>
            </w:r>
          </w:p>
        </w:tc>
        <w:tc>
          <w:tcPr>
            <w:tcW w:w="2070" w:type="dxa"/>
          </w:tcPr>
          <w:p w:rsidR="008B6584" w:rsidRDefault="008B6584" w:rsidP="008B6584">
            <w:pPr>
              <w:pStyle w:val="millernonindent"/>
            </w:pPr>
          </w:p>
        </w:tc>
        <w:tc>
          <w:tcPr>
            <w:tcW w:w="1728" w:type="dxa"/>
          </w:tcPr>
          <w:p w:rsidR="008B6584" w:rsidRDefault="008B6584" w:rsidP="008B6584">
            <w:pPr>
              <w:pStyle w:val="millernonindent"/>
            </w:pPr>
          </w:p>
        </w:tc>
      </w:tr>
      <w:tr w:rsidR="008B6584" w:rsidTr="00F11949">
        <w:trPr>
          <w:trHeight w:val="432"/>
        </w:trPr>
        <w:tc>
          <w:tcPr>
            <w:tcW w:w="468" w:type="dxa"/>
            <w:vAlign w:val="center"/>
          </w:tcPr>
          <w:p w:rsidR="008B6584" w:rsidRDefault="001D7DCA" w:rsidP="00F11949">
            <w:pPr>
              <w:pStyle w:val="millernonindent"/>
              <w:jc w:val="left"/>
            </w:pPr>
            <w:r>
              <w:t>9</w:t>
            </w:r>
          </w:p>
        </w:tc>
        <w:tc>
          <w:tcPr>
            <w:tcW w:w="5310" w:type="dxa"/>
            <w:vAlign w:val="center"/>
          </w:tcPr>
          <w:p w:rsidR="008B6584" w:rsidRDefault="001D7DCA" w:rsidP="00F11949">
            <w:pPr>
              <w:pStyle w:val="millernonindent"/>
              <w:jc w:val="left"/>
            </w:pPr>
            <w:r>
              <w:t>R</w:t>
            </w:r>
            <w:r w:rsidR="008B6584">
              <w:t>esult in job opportunities?</w:t>
            </w:r>
            <w:r w:rsidR="008B6584">
              <w:tab/>
            </w:r>
          </w:p>
        </w:tc>
        <w:tc>
          <w:tcPr>
            <w:tcW w:w="2070" w:type="dxa"/>
            <w:vAlign w:val="center"/>
          </w:tcPr>
          <w:p w:rsidR="008B6584" w:rsidRDefault="008B6584" w:rsidP="00F11949">
            <w:pPr>
              <w:pStyle w:val="millernonindent"/>
              <w:jc w:val="left"/>
            </w:pPr>
          </w:p>
        </w:tc>
        <w:tc>
          <w:tcPr>
            <w:tcW w:w="1728" w:type="dxa"/>
            <w:vAlign w:val="center"/>
          </w:tcPr>
          <w:p w:rsidR="008B6584" w:rsidRDefault="008B6584" w:rsidP="00F11949">
            <w:pPr>
              <w:pStyle w:val="millernonindent"/>
              <w:jc w:val="left"/>
            </w:pPr>
          </w:p>
        </w:tc>
      </w:tr>
    </w:tbl>
    <w:p w:rsidR="008B6584" w:rsidRDefault="008B6584" w:rsidP="008B6584">
      <w:pPr>
        <w:pStyle w:val="millernonindent"/>
      </w:pPr>
    </w:p>
    <w:p w:rsidR="002A40EC" w:rsidRDefault="002A40EC" w:rsidP="008B6584">
      <w:pPr>
        <w:pStyle w:val="millernonindent"/>
      </w:pPr>
      <w:r>
        <w:t xml:space="preserve">Additional </w:t>
      </w:r>
      <w:r w:rsidR="00F11949">
        <w:t xml:space="preserve">items to </w:t>
      </w:r>
      <w:r>
        <w:t>consider:</w:t>
      </w:r>
    </w:p>
    <w:p w:rsidR="002A40EC" w:rsidRPr="002A40EC" w:rsidRDefault="002A40EC" w:rsidP="008B6584">
      <w:pPr>
        <w:pStyle w:val="millernonindent"/>
        <w:rPr>
          <w:sz w:val="16"/>
          <w:szCs w:val="16"/>
        </w:rPr>
      </w:pPr>
    </w:p>
    <w:tbl>
      <w:tblPr>
        <w:tblStyle w:val="TableGrid"/>
        <w:tblW w:w="0" w:type="auto"/>
        <w:tblLook w:val="04A0"/>
      </w:tblPr>
      <w:tblGrid>
        <w:gridCol w:w="468"/>
        <w:gridCol w:w="5310"/>
        <w:gridCol w:w="2070"/>
        <w:gridCol w:w="1728"/>
      </w:tblGrid>
      <w:tr w:rsidR="002A40EC" w:rsidTr="002A40EC">
        <w:trPr>
          <w:trHeight w:val="432"/>
        </w:trPr>
        <w:tc>
          <w:tcPr>
            <w:tcW w:w="468" w:type="dxa"/>
            <w:vAlign w:val="center"/>
          </w:tcPr>
          <w:p w:rsidR="002A40EC" w:rsidRDefault="002A40EC" w:rsidP="002A40EC">
            <w:pPr>
              <w:pStyle w:val="millernonindent"/>
              <w:jc w:val="left"/>
            </w:pPr>
            <w:r>
              <w:t>1</w:t>
            </w:r>
          </w:p>
        </w:tc>
        <w:tc>
          <w:tcPr>
            <w:tcW w:w="5310" w:type="dxa"/>
            <w:vAlign w:val="center"/>
          </w:tcPr>
          <w:p w:rsidR="002A40EC" w:rsidRDefault="002A40EC" w:rsidP="002A40EC">
            <w:pPr>
              <w:pStyle w:val="millernonindent"/>
              <w:jc w:val="left"/>
            </w:pPr>
            <w:r>
              <w:t>Is property currently occupied?</w:t>
            </w:r>
          </w:p>
        </w:tc>
        <w:tc>
          <w:tcPr>
            <w:tcW w:w="2070" w:type="dxa"/>
            <w:vAlign w:val="center"/>
          </w:tcPr>
          <w:p w:rsidR="002A40EC" w:rsidRDefault="002A40EC" w:rsidP="002A40EC">
            <w:pPr>
              <w:pStyle w:val="millernonindent"/>
              <w:jc w:val="left"/>
            </w:pPr>
          </w:p>
        </w:tc>
        <w:tc>
          <w:tcPr>
            <w:tcW w:w="1728" w:type="dxa"/>
            <w:vAlign w:val="center"/>
          </w:tcPr>
          <w:p w:rsidR="002A40EC" w:rsidRDefault="002A40EC" w:rsidP="002A40EC">
            <w:pPr>
              <w:pStyle w:val="millernonindent"/>
              <w:jc w:val="left"/>
            </w:pPr>
          </w:p>
        </w:tc>
      </w:tr>
      <w:tr w:rsidR="002A40EC" w:rsidTr="002A40EC">
        <w:trPr>
          <w:trHeight w:val="432"/>
        </w:trPr>
        <w:tc>
          <w:tcPr>
            <w:tcW w:w="468" w:type="dxa"/>
            <w:vAlign w:val="center"/>
          </w:tcPr>
          <w:p w:rsidR="002A40EC" w:rsidRDefault="002A40EC" w:rsidP="002A40EC">
            <w:pPr>
              <w:pStyle w:val="millernonindent"/>
              <w:jc w:val="left"/>
            </w:pPr>
            <w:r>
              <w:t>2</w:t>
            </w:r>
          </w:p>
        </w:tc>
        <w:tc>
          <w:tcPr>
            <w:tcW w:w="5310" w:type="dxa"/>
            <w:vAlign w:val="center"/>
          </w:tcPr>
          <w:p w:rsidR="002A40EC" w:rsidRDefault="002A40EC" w:rsidP="002A40EC">
            <w:pPr>
              <w:pStyle w:val="millernonindent"/>
              <w:jc w:val="left"/>
            </w:pPr>
            <w:r>
              <w:t>Has a developer already been selected?</w:t>
            </w:r>
          </w:p>
        </w:tc>
        <w:tc>
          <w:tcPr>
            <w:tcW w:w="2070" w:type="dxa"/>
            <w:vAlign w:val="center"/>
          </w:tcPr>
          <w:p w:rsidR="002A40EC" w:rsidRDefault="002A40EC" w:rsidP="002A40EC">
            <w:pPr>
              <w:pStyle w:val="millernonindent"/>
              <w:jc w:val="left"/>
            </w:pPr>
          </w:p>
        </w:tc>
        <w:tc>
          <w:tcPr>
            <w:tcW w:w="1728" w:type="dxa"/>
            <w:vAlign w:val="center"/>
          </w:tcPr>
          <w:p w:rsidR="002A40EC" w:rsidRDefault="002A40EC" w:rsidP="002A40EC">
            <w:pPr>
              <w:pStyle w:val="millernonindent"/>
              <w:jc w:val="left"/>
            </w:pPr>
          </w:p>
        </w:tc>
      </w:tr>
      <w:tr w:rsidR="002A40EC" w:rsidTr="002A40EC">
        <w:trPr>
          <w:trHeight w:val="432"/>
        </w:trPr>
        <w:tc>
          <w:tcPr>
            <w:tcW w:w="468" w:type="dxa"/>
            <w:vAlign w:val="center"/>
          </w:tcPr>
          <w:p w:rsidR="002A40EC" w:rsidRDefault="002A40EC" w:rsidP="002A40EC">
            <w:pPr>
              <w:pStyle w:val="millernonindent"/>
              <w:jc w:val="left"/>
            </w:pPr>
            <w:r>
              <w:t xml:space="preserve">3 </w:t>
            </w:r>
          </w:p>
        </w:tc>
        <w:tc>
          <w:tcPr>
            <w:tcW w:w="5310" w:type="dxa"/>
            <w:vAlign w:val="center"/>
          </w:tcPr>
          <w:p w:rsidR="002A40EC" w:rsidRDefault="002A40EC" w:rsidP="002A40EC">
            <w:pPr>
              <w:pStyle w:val="millernonindent"/>
              <w:jc w:val="left"/>
            </w:pPr>
            <w:r>
              <w:t>Will the project go out to bid?</w:t>
            </w:r>
          </w:p>
        </w:tc>
        <w:tc>
          <w:tcPr>
            <w:tcW w:w="2070" w:type="dxa"/>
            <w:vAlign w:val="center"/>
          </w:tcPr>
          <w:p w:rsidR="002A40EC" w:rsidRDefault="002A40EC" w:rsidP="002A40EC">
            <w:pPr>
              <w:pStyle w:val="millernonindent"/>
              <w:jc w:val="left"/>
            </w:pPr>
          </w:p>
        </w:tc>
        <w:tc>
          <w:tcPr>
            <w:tcW w:w="1728" w:type="dxa"/>
            <w:vAlign w:val="center"/>
          </w:tcPr>
          <w:p w:rsidR="002A40EC" w:rsidRDefault="002A40EC" w:rsidP="002A40EC">
            <w:pPr>
              <w:pStyle w:val="millernonindent"/>
              <w:jc w:val="left"/>
            </w:pPr>
          </w:p>
        </w:tc>
      </w:tr>
      <w:tr w:rsidR="002A40EC" w:rsidTr="002A40EC">
        <w:trPr>
          <w:trHeight w:val="432"/>
        </w:trPr>
        <w:tc>
          <w:tcPr>
            <w:tcW w:w="468" w:type="dxa"/>
            <w:vAlign w:val="center"/>
          </w:tcPr>
          <w:p w:rsidR="002A40EC" w:rsidRDefault="002A40EC" w:rsidP="002A40EC">
            <w:pPr>
              <w:pStyle w:val="millernonindent"/>
              <w:jc w:val="left"/>
            </w:pPr>
            <w:r>
              <w:t>4</w:t>
            </w:r>
          </w:p>
        </w:tc>
        <w:tc>
          <w:tcPr>
            <w:tcW w:w="5310" w:type="dxa"/>
            <w:vAlign w:val="center"/>
          </w:tcPr>
          <w:p w:rsidR="002A40EC" w:rsidRDefault="002A40EC" w:rsidP="002A40EC">
            <w:pPr>
              <w:pStyle w:val="millernonindent"/>
              <w:jc w:val="left"/>
            </w:pPr>
            <w:r>
              <w:t>Type of Structure?</w:t>
            </w:r>
          </w:p>
        </w:tc>
        <w:tc>
          <w:tcPr>
            <w:tcW w:w="2070" w:type="dxa"/>
            <w:vAlign w:val="center"/>
          </w:tcPr>
          <w:p w:rsidR="002A40EC" w:rsidRDefault="002A40EC" w:rsidP="002A40EC">
            <w:pPr>
              <w:pStyle w:val="millernonindent"/>
              <w:jc w:val="left"/>
            </w:pPr>
            <w:r>
              <w:t>Current?</w:t>
            </w:r>
          </w:p>
        </w:tc>
        <w:tc>
          <w:tcPr>
            <w:tcW w:w="1728" w:type="dxa"/>
            <w:vAlign w:val="center"/>
          </w:tcPr>
          <w:p w:rsidR="002A40EC" w:rsidRDefault="002A40EC" w:rsidP="002A40EC">
            <w:pPr>
              <w:pStyle w:val="millernonindent"/>
              <w:jc w:val="left"/>
            </w:pPr>
            <w:r>
              <w:t>Planned?</w:t>
            </w:r>
          </w:p>
        </w:tc>
      </w:tr>
      <w:tr w:rsidR="002A40EC" w:rsidTr="002A40EC">
        <w:tc>
          <w:tcPr>
            <w:tcW w:w="468" w:type="dxa"/>
          </w:tcPr>
          <w:p w:rsidR="002A40EC" w:rsidRDefault="002A40EC" w:rsidP="008B6584">
            <w:pPr>
              <w:pStyle w:val="millernonindent"/>
            </w:pPr>
          </w:p>
        </w:tc>
        <w:tc>
          <w:tcPr>
            <w:tcW w:w="5310" w:type="dxa"/>
            <w:vAlign w:val="center"/>
          </w:tcPr>
          <w:p w:rsidR="002A40EC" w:rsidRDefault="002A40EC" w:rsidP="002A40EC">
            <w:pPr>
              <w:pStyle w:val="millernonindent"/>
              <w:jc w:val="left"/>
            </w:pPr>
            <w:r>
              <w:t xml:space="preserve">    Residential  </w:t>
            </w:r>
          </w:p>
        </w:tc>
        <w:tc>
          <w:tcPr>
            <w:tcW w:w="2070" w:type="dxa"/>
            <w:vAlign w:val="center"/>
          </w:tcPr>
          <w:p w:rsidR="002A40EC" w:rsidRDefault="002A40EC" w:rsidP="002A40EC">
            <w:pPr>
              <w:pStyle w:val="millernonindent"/>
              <w:jc w:val="left"/>
            </w:pPr>
          </w:p>
        </w:tc>
        <w:tc>
          <w:tcPr>
            <w:tcW w:w="1728" w:type="dxa"/>
            <w:vAlign w:val="center"/>
          </w:tcPr>
          <w:p w:rsidR="002A40EC" w:rsidRDefault="002A40EC" w:rsidP="002A40EC">
            <w:pPr>
              <w:pStyle w:val="millernonindent"/>
              <w:jc w:val="left"/>
            </w:pPr>
          </w:p>
        </w:tc>
      </w:tr>
      <w:tr w:rsidR="002A40EC" w:rsidTr="002A40EC">
        <w:tc>
          <w:tcPr>
            <w:tcW w:w="468" w:type="dxa"/>
          </w:tcPr>
          <w:p w:rsidR="002A40EC" w:rsidRDefault="002A40EC" w:rsidP="008B6584">
            <w:pPr>
              <w:pStyle w:val="millernonindent"/>
            </w:pPr>
          </w:p>
        </w:tc>
        <w:tc>
          <w:tcPr>
            <w:tcW w:w="5310" w:type="dxa"/>
            <w:vAlign w:val="center"/>
          </w:tcPr>
          <w:p w:rsidR="002A40EC" w:rsidRDefault="002A40EC" w:rsidP="002A40EC">
            <w:pPr>
              <w:pStyle w:val="millernonindent"/>
              <w:jc w:val="left"/>
            </w:pPr>
            <w:r>
              <w:t xml:space="preserve">    Commercial</w:t>
            </w:r>
          </w:p>
        </w:tc>
        <w:tc>
          <w:tcPr>
            <w:tcW w:w="2070" w:type="dxa"/>
            <w:vAlign w:val="center"/>
          </w:tcPr>
          <w:p w:rsidR="002A40EC" w:rsidRDefault="002A40EC" w:rsidP="002A40EC">
            <w:pPr>
              <w:pStyle w:val="millernonindent"/>
              <w:jc w:val="left"/>
            </w:pPr>
          </w:p>
        </w:tc>
        <w:tc>
          <w:tcPr>
            <w:tcW w:w="1728" w:type="dxa"/>
            <w:vAlign w:val="center"/>
          </w:tcPr>
          <w:p w:rsidR="002A40EC" w:rsidRDefault="002A40EC" w:rsidP="002A40EC">
            <w:pPr>
              <w:pStyle w:val="millernonindent"/>
              <w:jc w:val="left"/>
            </w:pPr>
          </w:p>
        </w:tc>
      </w:tr>
    </w:tbl>
    <w:p w:rsidR="002A40EC" w:rsidRDefault="002A40EC" w:rsidP="008B6584">
      <w:pPr>
        <w:pStyle w:val="millernonindent"/>
      </w:pPr>
    </w:p>
    <w:p w:rsidR="008B6584" w:rsidRDefault="008B6584" w:rsidP="008B6584">
      <w:pPr>
        <w:pStyle w:val="millernonindent"/>
      </w:pPr>
    </w:p>
    <w:p w:rsidR="009F343C" w:rsidRDefault="009F343C" w:rsidP="008B6584">
      <w:pPr>
        <w:pStyle w:val="millernonindent"/>
      </w:pPr>
      <w:r>
        <w:t>Note:</w:t>
      </w:r>
    </w:p>
    <w:p w:rsidR="009F343C" w:rsidRDefault="009F343C" w:rsidP="009F343C">
      <w:pPr>
        <w:pStyle w:val="millernonindent"/>
        <w:numPr>
          <w:ilvl w:val="0"/>
          <w:numId w:val="13"/>
        </w:numPr>
      </w:pPr>
      <w:r>
        <w:t>Loan recipients may use the loan funds only for the purposes for which the grant was made;</w:t>
      </w:r>
    </w:p>
    <w:p w:rsidR="009F343C" w:rsidRDefault="009F343C" w:rsidP="009F343C">
      <w:pPr>
        <w:pStyle w:val="millernonindent"/>
        <w:numPr>
          <w:ilvl w:val="0"/>
          <w:numId w:val="13"/>
        </w:numPr>
      </w:pPr>
      <w:r>
        <w:t>Loan recipients will be required to provide periodic written reports concerning the use of grant funds;</w:t>
      </w:r>
    </w:p>
    <w:p w:rsidR="009F343C" w:rsidRDefault="009F343C" w:rsidP="009F343C">
      <w:pPr>
        <w:pStyle w:val="millernonindent"/>
        <w:numPr>
          <w:ilvl w:val="0"/>
          <w:numId w:val="13"/>
        </w:numPr>
      </w:pPr>
      <w:r>
        <w:t>Loan recipients will be required to submit a final written report, including an accounting of how loan funds were used; and,</w:t>
      </w:r>
    </w:p>
    <w:p w:rsidR="009F343C" w:rsidRDefault="009F343C" w:rsidP="009F343C">
      <w:pPr>
        <w:pStyle w:val="millernonindent"/>
        <w:numPr>
          <w:ilvl w:val="0"/>
          <w:numId w:val="13"/>
        </w:numPr>
      </w:pPr>
      <w:r>
        <w:t>The Summit Initiatives Foundation has the authority to withhold and/or recover loan funds in case such funds are, or appear to be, misused.</w:t>
      </w:r>
    </w:p>
    <w:sectPr w:rsidR="009F343C" w:rsidSect="008B6584">
      <w:pgSz w:w="12240" w:h="15840"/>
      <w:pgMar w:top="1440" w:right="1440" w:bottom="1152"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2A"/>
    <w:multiLevelType w:val="hybridMultilevel"/>
    <w:tmpl w:val="E3FE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A5C50"/>
    <w:multiLevelType w:val="hybridMultilevel"/>
    <w:tmpl w:val="546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821A3"/>
    <w:multiLevelType w:val="hybridMultilevel"/>
    <w:tmpl w:val="5566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300A"/>
    <w:multiLevelType w:val="hybridMultilevel"/>
    <w:tmpl w:val="58F88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D29F5"/>
    <w:multiLevelType w:val="hybridMultilevel"/>
    <w:tmpl w:val="C4B8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B42DF"/>
    <w:multiLevelType w:val="hybridMultilevel"/>
    <w:tmpl w:val="312A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6C8B"/>
    <w:multiLevelType w:val="hybridMultilevel"/>
    <w:tmpl w:val="9752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D2BC7"/>
    <w:multiLevelType w:val="hybridMultilevel"/>
    <w:tmpl w:val="75EA005A"/>
    <w:lvl w:ilvl="0" w:tplc="47808CA2">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B335F4"/>
    <w:multiLevelType w:val="hybridMultilevel"/>
    <w:tmpl w:val="17EAB196"/>
    <w:lvl w:ilvl="0" w:tplc="47808CA2">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2522EE"/>
    <w:multiLevelType w:val="hybridMultilevel"/>
    <w:tmpl w:val="6EF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D2215"/>
    <w:multiLevelType w:val="hybridMultilevel"/>
    <w:tmpl w:val="5AAE4C64"/>
    <w:lvl w:ilvl="0" w:tplc="47808CA2">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897F27"/>
    <w:multiLevelType w:val="hybridMultilevel"/>
    <w:tmpl w:val="9FE21F22"/>
    <w:lvl w:ilvl="0" w:tplc="47808CA2">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737B93"/>
    <w:multiLevelType w:val="hybridMultilevel"/>
    <w:tmpl w:val="338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0"/>
  </w:num>
  <w:num w:numId="5">
    <w:abstractNumId w:val="0"/>
  </w:num>
  <w:num w:numId="6">
    <w:abstractNumId w:val="4"/>
  </w:num>
  <w:num w:numId="7">
    <w:abstractNumId w:val="12"/>
  </w:num>
  <w:num w:numId="8">
    <w:abstractNumId w:val="1"/>
  </w:num>
  <w:num w:numId="9">
    <w:abstractNumId w:val="5"/>
  </w:num>
  <w:num w:numId="10">
    <w:abstractNumId w:val="2"/>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noPunctuationKerning/>
  <w:characterSpacingControl w:val="doNotCompress"/>
  <w:compat/>
  <w:rsids>
    <w:rsidRoot w:val="003E246F"/>
    <w:rsid w:val="000053FA"/>
    <w:rsid w:val="000B1AEA"/>
    <w:rsid w:val="00146B54"/>
    <w:rsid w:val="001B43B2"/>
    <w:rsid w:val="001C3F46"/>
    <w:rsid w:val="001D7DCA"/>
    <w:rsid w:val="002210D5"/>
    <w:rsid w:val="00222765"/>
    <w:rsid w:val="0024416A"/>
    <w:rsid w:val="002537D9"/>
    <w:rsid w:val="0026266A"/>
    <w:rsid w:val="00266A03"/>
    <w:rsid w:val="0026775E"/>
    <w:rsid w:val="00275248"/>
    <w:rsid w:val="002A40EC"/>
    <w:rsid w:val="002C1BF3"/>
    <w:rsid w:val="002F0667"/>
    <w:rsid w:val="00363A2E"/>
    <w:rsid w:val="00372610"/>
    <w:rsid w:val="00372E09"/>
    <w:rsid w:val="00382719"/>
    <w:rsid w:val="00392B6E"/>
    <w:rsid w:val="003B1865"/>
    <w:rsid w:val="003E246F"/>
    <w:rsid w:val="00412BDB"/>
    <w:rsid w:val="004461A4"/>
    <w:rsid w:val="00474558"/>
    <w:rsid w:val="0047582E"/>
    <w:rsid w:val="004A1FC7"/>
    <w:rsid w:val="004B0F44"/>
    <w:rsid w:val="004C50A9"/>
    <w:rsid w:val="004D0560"/>
    <w:rsid w:val="004D104C"/>
    <w:rsid w:val="004F1A32"/>
    <w:rsid w:val="00547D36"/>
    <w:rsid w:val="005723D3"/>
    <w:rsid w:val="0059347C"/>
    <w:rsid w:val="00611E8E"/>
    <w:rsid w:val="006732D6"/>
    <w:rsid w:val="00677582"/>
    <w:rsid w:val="00690D25"/>
    <w:rsid w:val="006B36D5"/>
    <w:rsid w:val="006C4DAA"/>
    <w:rsid w:val="006C7060"/>
    <w:rsid w:val="006D51E0"/>
    <w:rsid w:val="006E1B3D"/>
    <w:rsid w:val="00724054"/>
    <w:rsid w:val="00730C5C"/>
    <w:rsid w:val="00747C29"/>
    <w:rsid w:val="00774AA9"/>
    <w:rsid w:val="00775406"/>
    <w:rsid w:val="007A3BE5"/>
    <w:rsid w:val="007C2D2F"/>
    <w:rsid w:val="007F6541"/>
    <w:rsid w:val="008114E3"/>
    <w:rsid w:val="008134A7"/>
    <w:rsid w:val="00845FE2"/>
    <w:rsid w:val="008A6816"/>
    <w:rsid w:val="008B6584"/>
    <w:rsid w:val="0091150F"/>
    <w:rsid w:val="00927AF3"/>
    <w:rsid w:val="0094514A"/>
    <w:rsid w:val="0095145F"/>
    <w:rsid w:val="00971707"/>
    <w:rsid w:val="009920BC"/>
    <w:rsid w:val="009A5A68"/>
    <w:rsid w:val="009D5218"/>
    <w:rsid w:val="009F343C"/>
    <w:rsid w:val="00A22973"/>
    <w:rsid w:val="00A24982"/>
    <w:rsid w:val="00A555B8"/>
    <w:rsid w:val="00AC78BB"/>
    <w:rsid w:val="00AE219E"/>
    <w:rsid w:val="00AE2419"/>
    <w:rsid w:val="00B15BD8"/>
    <w:rsid w:val="00B27EF6"/>
    <w:rsid w:val="00B5693D"/>
    <w:rsid w:val="00BA4814"/>
    <w:rsid w:val="00BF2100"/>
    <w:rsid w:val="00BF495B"/>
    <w:rsid w:val="00C111C7"/>
    <w:rsid w:val="00C1133B"/>
    <w:rsid w:val="00C1134D"/>
    <w:rsid w:val="00C124DA"/>
    <w:rsid w:val="00C30777"/>
    <w:rsid w:val="00C465F8"/>
    <w:rsid w:val="00C6714C"/>
    <w:rsid w:val="00CC2338"/>
    <w:rsid w:val="00CD3363"/>
    <w:rsid w:val="00D14150"/>
    <w:rsid w:val="00D618FB"/>
    <w:rsid w:val="00D96FDC"/>
    <w:rsid w:val="00DC6E42"/>
    <w:rsid w:val="00E05D5E"/>
    <w:rsid w:val="00E337BB"/>
    <w:rsid w:val="00E41E66"/>
    <w:rsid w:val="00E52ED7"/>
    <w:rsid w:val="00E96DC1"/>
    <w:rsid w:val="00F11949"/>
    <w:rsid w:val="00F26716"/>
    <w:rsid w:val="00F4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AA9"/>
    <w:rPr>
      <w:sz w:val="24"/>
      <w:szCs w:val="24"/>
    </w:rPr>
  </w:style>
  <w:style w:type="paragraph" w:styleId="Heading1">
    <w:name w:val="heading 1"/>
    <w:basedOn w:val="Normal"/>
    <w:next w:val="Normal"/>
    <w:qFormat/>
    <w:rsid w:val="0091150F"/>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B5693D"/>
    <w:pPr>
      <w:tabs>
        <w:tab w:val="right" w:pos="9350"/>
      </w:tabs>
      <w:spacing w:before="360"/>
      <w:ind w:left="432"/>
    </w:pPr>
    <w:rPr>
      <w:rFonts w:ascii="Arial" w:hAnsi="Arial" w:cs="Arial"/>
      <w:b/>
      <w:bCs/>
      <w:caps/>
    </w:rPr>
  </w:style>
  <w:style w:type="character" w:styleId="Hyperlink">
    <w:name w:val="Hyperlink"/>
    <w:basedOn w:val="DefaultParagraphFont"/>
    <w:rsid w:val="002C1BF3"/>
    <w:rPr>
      <w:color w:val="0000FF"/>
      <w:u w:val="single"/>
    </w:rPr>
  </w:style>
  <w:style w:type="paragraph" w:styleId="TOC2">
    <w:name w:val="toc 2"/>
    <w:basedOn w:val="Normal"/>
    <w:next w:val="Normal"/>
    <w:autoRedefine/>
    <w:semiHidden/>
    <w:rsid w:val="00B27EF6"/>
    <w:pPr>
      <w:spacing w:before="240"/>
    </w:pPr>
    <w:rPr>
      <w:b/>
      <w:bCs/>
      <w:sz w:val="20"/>
      <w:szCs w:val="20"/>
    </w:rPr>
  </w:style>
  <w:style w:type="paragraph" w:styleId="TOC3">
    <w:name w:val="toc 3"/>
    <w:basedOn w:val="Normal"/>
    <w:next w:val="Normal"/>
    <w:autoRedefine/>
    <w:semiHidden/>
    <w:rsid w:val="00B27EF6"/>
    <w:pPr>
      <w:ind w:left="240"/>
    </w:pPr>
    <w:rPr>
      <w:sz w:val="20"/>
      <w:szCs w:val="20"/>
    </w:rPr>
  </w:style>
  <w:style w:type="paragraph" w:styleId="TOC4">
    <w:name w:val="toc 4"/>
    <w:basedOn w:val="Normal"/>
    <w:next w:val="Normal"/>
    <w:autoRedefine/>
    <w:semiHidden/>
    <w:rsid w:val="00B27EF6"/>
    <w:pPr>
      <w:ind w:left="480"/>
    </w:pPr>
    <w:rPr>
      <w:sz w:val="20"/>
      <w:szCs w:val="20"/>
    </w:rPr>
  </w:style>
  <w:style w:type="paragraph" w:styleId="TOC5">
    <w:name w:val="toc 5"/>
    <w:basedOn w:val="Normal"/>
    <w:next w:val="Normal"/>
    <w:autoRedefine/>
    <w:semiHidden/>
    <w:rsid w:val="00B27EF6"/>
    <w:pPr>
      <w:ind w:left="720"/>
    </w:pPr>
    <w:rPr>
      <w:sz w:val="20"/>
      <w:szCs w:val="20"/>
    </w:rPr>
  </w:style>
  <w:style w:type="paragraph" w:styleId="TOC6">
    <w:name w:val="toc 6"/>
    <w:basedOn w:val="Normal"/>
    <w:next w:val="Normal"/>
    <w:autoRedefine/>
    <w:semiHidden/>
    <w:rsid w:val="00B27EF6"/>
    <w:pPr>
      <w:ind w:left="960"/>
    </w:pPr>
    <w:rPr>
      <w:sz w:val="20"/>
      <w:szCs w:val="20"/>
    </w:rPr>
  </w:style>
  <w:style w:type="paragraph" w:styleId="TOC7">
    <w:name w:val="toc 7"/>
    <w:basedOn w:val="Normal"/>
    <w:next w:val="Normal"/>
    <w:autoRedefine/>
    <w:semiHidden/>
    <w:rsid w:val="00B27EF6"/>
    <w:pPr>
      <w:ind w:left="1200"/>
    </w:pPr>
    <w:rPr>
      <w:sz w:val="20"/>
      <w:szCs w:val="20"/>
    </w:rPr>
  </w:style>
  <w:style w:type="paragraph" w:styleId="TOC8">
    <w:name w:val="toc 8"/>
    <w:basedOn w:val="Normal"/>
    <w:next w:val="Normal"/>
    <w:autoRedefine/>
    <w:semiHidden/>
    <w:rsid w:val="00B27EF6"/>
    <w:pPr>
      <w:ind w:left="1440"/>
    </w:pPr>
    <w:rPr>
      <w:sz w:val="20"/>
      <w:szCs w:val="20"/>
    </w:rPr>
  </w:style>
  <w:style w:type="paragraph" w:styleId="TOC9">
    <w:name w:val="toc 9"/>
    <w:basedOn w:val="Normal"/>
    <w:next w:val="Normal"/>
    <w:autoRedefine/>
    <w:semiHidden/>
    <w:rsid w:val="00B27EF6"/>
    <w:pPr>
      <w:ind w:left="1680"/>
    </w:pPr>
    <w:rPr>
      <w:sz w:val="20"/>
      <w:szCs w:val="20"/>
    </w:rPr>
  </w:style>
  <w:style w:type="paragraph" w:customStyle="1" w:styleId="millerparagraph">
    <w:name w:val="miller paragraph"/>
    <w:basedOn w:val="Normal"/>
    <w:link w:val="millerparagraphChar"/>
    <w:qFormat/>
    <w:rsid w:val="00E05D5E"/>
    <w:pPr>
      <w:ind w:left="720"/>
      <w:jc w:val="both"/>
    </w:pPr>
    <w:rPr>
      <w:szCs w:val="28"/>
    </w:rPr>
  </w:style>
  <w:style w:type="paragraph" w:styleId="Title">
    <w:name w:val="Title"/>
    <w:basedOn w:val="Normal"/>
    <w:next w:val="Normal"/>
    <w:link w:val="TitleChar"/>
    <w:qFormat/>
    <w:rsid w:val="00CC2338"/>
    <w:pPr>
      <w:spacing w:before="240" w:after="60"/>
      <w:jc w:val="center"/>
      <w:outlineLvl w:val="0"/>
    </w:pPr>
    <w:rPr>
      <w:rFonts w:ascii="Cambria" w:hAnsi="Cambria"/>
      <w:b/>
      <w:bCs/>
      <w:kern w:val="28"/>
      <w:sz w:val="32"/>
      <w:szCs w:val="32"/>
    </w:rPr>
  </w:style>
  <w:style w:type="character" w:customStyle="1" w:styleId="millerparagraphChar">
    <w:name w:val="miller paragraph Char"/>
    <w:basedOn w:val="DefaultParagraphFont"/>
    <w:link w:val="millerparagraph"/>
    <w:rsid w:val="00E05D5E"/>
    <w:rPr>
      <w:sz w:val="24"/>
      <w:szCs w:val="28"/>
    </w:rPr>
  </w:style>
  <w:style w:type="character" w:customStyle="1" w:styleId="TitleChar">
    <w:name w:val="Title Char"/>
    <w:basedOn w:val="DefaultParagraphFont"/>
    <w:link w:val="Title"/>
    <w:rsid w:val="00CC2338"/>
    <w:rPr>
      <w:rFonts w:ascii="Cambria" w:eastAsia="Times New Roman" w:hAnsi="Cambria" w:cs="Times New Roman"/>
      <w:b/>
      <w:bCs/>
      <w:kern w:val="28"/>
      <w:sz w:val="32"/>
      <w:szCs w:val="32"/>
    </w:rPr>
  </w:style>
  <w:style w:type="paragraph" w:customStyle="1" w:styleId="millerheading">
    <w:name w:val="miller heading"/>
    <w:basedOn w:val="Normal"/>
    <w:link w:val="millerheadingChar"/>
    <w:qFormat/>
    <w:rsid w:val="0091150F"/>
    <w:pPr>
      <w:pageBreakBefore/>
      <w:pBdr>
        <w:bottom w:val="triple" w:sz="4" w:space="1" w:color="auto"/>
      </w:pBdr>
      <w:jc w:val="center"/>
    </w:pPr>
    <w:rPr>
      <w:sz w:val="48"/>
      <w:szCs w:val="48"/>
    </w:rPr>
  </w:style>
  <w:style w:type="paragraph" w:customStyle="1" w:styleId="millernonindent">
    <w:name w:val="miller non indent"/>
    <w:basedOn w:val="Normal"/>
    <w:link w:val="millernonindentChar"/>
    <w:qFormat/>
    <w:rsid w:val="0091150F"/>
    <w:pPr>
      <w:jc w:val="both"/>
    </w:pPr>
    <w:rPr>
      <w:szCs w:val="28"/>
    </w:rPr>
  </w:style>
  <w:style w:type="character" w:customStyle="1" w:styleId="millerheadingChar">
    <w:name w:val="miller heading Char"/>
    <w:basedOn w:val="DefaultParagraphFont"/>
    <w:link w:val="millerheading"/>
    <w:rsid w:val="0091150F"/>
    <w:rPr>
      <w:sz w:val="48"/>
      <w:szCs w:val="48"/>
    </w:rPr>
  </w:style>
  <w:style w:type="paragraph" w:styleId="BalloonText">
    <w:name w:val="Balloon Text"/>
    <w:basedOn w:val="Normal"/>
    <w:link w:val="BalloonTextChar"/>
    <w:rsid w:val="00A555B8"/>
    <w:rPr>
      <w:rFonts w:ascii="Tahoma" w:hAnsi="Tahoma" w:cs="Tahoma"/>
      <w:sz w:val="16"/>
      <w:szCs w:val="16"/>
    </w:rPr>
  </w:style>
  <w:style w:type="character" w:customStyle="1" w:styleId="millernonindentChar">
    <w:name w:val="miller non indent Char"/>
    <w:basedOn w:val="DefaultParagraphFont"/>
    <w:link w:val="millernonindent"/>
    <w:rsid w:val="0091150F"/>
    <w:rPr>
      <w:sz w:val="24"/>
      <w:szCs w:val="28"/>
    </w:rPr>
  </w:style>
  <w:style w:type="character" w:customStyle="1" w:styleId="BalloonTextChar">
    <w:name w:val="Balloon Text Char"/>
    <w:basedOn w:val="DefaultParagraphFont"/>
    <w:link w:val="BalloonText"/>
    <w:rsid w:val="00A555B8"/>
    <w:rPr>
      <w:rFonts w:ascii="Tahoma" w:hAnsi="Tahoma" w:cs="Tahoma"/>
      <w:sz w:val="16"/>
      <w:szCs w:val="16"/>
    </w:rPr>
  </w:style>
  <w:style w:type="table" w:styleId="TableGrid">
    <w:name w:val="Table Grid"/>
    <w:basedOn w:val="TableNormal"/>
    <w:rsid w:val="008B65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6E1B3D"/>
    <w:rPr>
      <w:i/>
      <w:iCs/>
    </w:rPr>
  </w:style>
</w:styles>
</file>

<file path=word/webSettings.xml><?xml version="1.0" encoding="utf-8"?>
<w:webSettings xmlns:r="http://schemas.openxmlformats.org/officeDocument/2006/relationships" xmlns:w="http://schemas.openxmlformats.org/wordprocessingml/2006/main">
  <w:divs>
    <w:div w:id="769660229">
      <w:bodyDiv w:val="1"/>
      <w:marLeft w:val="0"/>
      <w:marRight w:val="0"/>
      <w:marTop w:val="0"/>
      <w:marBottom w:val="0"/>
      <w:divBdr>
        <w:top w:val="none" w:sz="0" w:space="0" w:color="auto"/>
        <w:left w:val="none" w:sz="0" w:space="0" w:color="auto"/>
        <w:bottom w:val="none" w:sz="0" w:space="0" w:color="auto"/>
        <w:right w:val="none" w:sz="0" w:space="0" w:color="auto"/>
      </w:divBdr>
      <w:divsChild>
        <w:div w:id="1840148472">
          <w:marLeft w:val="0"/>
          <w:marRight w:val="0"/>
          <w:marTop w:val="0"/>
          <w:marBottom w:val="0"/>
          <w:divBdr>
            <w:top w:val="none" w:sz="0" w:space="0" w:color="auto"/>
            <w:left w:val="none" w:sz="0" w:space="0" w:color="auto"/>
            <w:bottom w:val="none" w:sz="0" w:space="0" w:color="auto"/>
            <w:right w:val="none" w:sz="0" w:space="0" w:color="auto"/>
          </w:divBdr>
          <w:divsChild>
            <w:div w:id="731387872">
              <w:marLeft w:val="0"/>
              <w:marRight w:val="0"/>
              <w:marTop w:val="0"/>
              <w:marBottom w:val="0"/>
              <w:divBdr>
                <w:top w:val="none" w:sz="0" w:space="0" w:color="auto"/>
                <w:left w:val="none" w:sz="0" w:space="0" w:color="auto"/>
                <w:bottom w:val="none" w:sz="0" w:space="0" w:color="auto"/>
                <w:right w:val="none" w:sz="0" w:space="0" w:color="auto"/>
              </w:divBdr>
              <w:divsChild>
                <w:div w:id="4910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1F98-42B2-4027-9D0B-ACC986FC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Wayne Community Foundation</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Cmeek</dc:creator>
  <cp:lastModifiedBy>HLudwig</cp:lastModifiedBy>
  <cp:revision>2</cp:revision>
  <cp:lastPrinted>2011-12-20T21:04:00Z</cp:lastPrinted>
  <dcterms:created xsi:type="dcterms:W3CDTF">2016-02-22T21:33:00Z</dcterms:created>
  <dcterms:modified xsi:type="dcterms:W3CDTF">2016-02-22T21:33:00Z</dcterms:modified>
</cp:coreProperties>
</file>